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CF" w:rsidRPr="005401D7" w:rsidRDefault="00627FCF" w:rsidP="003D1C26">
      <w:pPr>
        <w:adjustRightInd w:val="0"/>
        <w:snapToGrid w:val="0"/>
        <w:spacing w:line="240" w:lineRule="atLeast"/>
        <w:ind w:firstLineChars="2300" w:firstLine="4140"/>
        <w:jc w:val="right"/>
        <w:rPr>
          <w:rFonts w:ascii="Times New Roman" w:eastAsia="標楷體" w:hAnsi="Times New Roman"/>
          <w:sz w:val="18"/>
          <w:szCs w:val="18"/>
          <w:shd w:val="clear" w:color="auto" w:fill="FFFF00"/>
        </w:rPr>
      </w:pPr>
    </w:p>
    <w:p w:rsidR="005401D7" w:rsidRPr="005401D7" w:rsidRDefault="0055337B" w:rsidP="005401D7">
      <w:pPr>
        <w:jc w:val="center"/>
        <w:rPr>
          <w:rFonts w:ascii="標楷體" w:eastAsia="標楷體" w:hAnsi="標楷體"/>
          <w:b/>
          <w:sz w:val="36"/>
          <w:szCs w:val="36"/>
        </w:rPr>
      </w:pPr>
      <w:r w:rsidRPr="005401D7">
        <w:rPr>
          <w:rFonts w:ascii="標楷體" w:eastAsia="標楷體" w:hAnsi="標楷體" w:hint="eastAsia"/>
          <w:b/>
          <w:sz w:val="36"/>
          <w:szCs w:val="36"/>
        </w:rPr>
        <w:t>康寧學校財團法人康寧大學</w:t>
      </w:r>
    </w:p>
    <w:p w:rsidR="00627FCF" w:rsidRPr="005401D7" w:rsidRDefault="00627FCF" w:rsidP="005401D7">
      <w:pPr>
        <w:jc w:val="center"/>
        <w:rPr>
          <w:rFonts w:ascii="標楷體" w:eastAsia="標楷體" w:hAnsi="標楷體"/>
          <w:b/>
          <w:sz w:val="36"/>
          <w:szCs w:val="36"/>
        </w:rPr>
      </w:pPr>
      <w:bookmarkStart w:id="0" w:name="_GoBack"/>
      <w:r w:rsidRPr="005401D7">
        <w:rPr>
          <w:rFonts w:ascii="標楷體" w:eastAsia="標楷體" w:hAnsi="標楷體" w:hint="eastAsia"/>
          <w:b/>
          <w:sz w:val="36"/>
          <w:szCs w:val="36"/>
        </w:rPr>
        <w:t>各會議場所暨專題演講廳及階梯教室管理辦法</w:t>
      </w:r>
    </w:p>
    <w:bookmarkEnd w:id="0"/>
    <w:p w:rsidR="00B234B5" w:rsidRPr="00EE3A9F" w:rsidRDefault="00B234B5" w:rsidP="0000699E">
      <w:pPr>
        <w:ind w:leftChars="200" w:left="480"/>
        <w:jc w:val="right"/>
        <w:rPr>
          <w:rFonts w:ascii="標楷體" w:eastAsia="標楷體" w:hAnsi="標楷體" w:cs="DFKaiShu-SB-Estd-BF"/>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00699E">
        <w:rPr>
          <w:rFonts w:ascii="標楷體" w:eastAsia="標楷體" w:hAnsi="標楷體" w:cs="DFKaiShu-SB-Estd-BF" w:hint="eastAsia"/>
          <w:kern w:val="0"/>
          <w:sz w:val="20"/>
          <w:szCs w:val="20"/>
        </w:rPr>
        <w:t>14</w:t>
      </w:r>
      <w:r w:rsidRPr="00EE3A9F">
        <w:rPr>
          <w:rFonts w:ascii="標楷體" w:eastAsia="標楷體" w:hAnsi="標楷體" w:cs="DFKaiShu-SB-Estd-BF" w:hint="eastAsia"/>
          <w:kern w:val="0"/>
          <w:sz w:val="20"/>
          <w:szCs w:val="20"/>
        </w:rPr>
        <w:t>日行政會議訂定</w:t>
      </w:r>
    </w:p>
    <w:p w:rsidR="00627FCF" w:rsidRPr="00B234B5" w:rsidRDefault="00B234B5" w:rsidP="000667C5">
      <w:pPr>
        <w:wordWrap w:val="0"/>
        <w:ind w:leftChars="200" w:left="480"/>
        <w:jc w:val="right"/>
        <w:rPr>
          <w:rFonts w:ascii="標楷體" w:eastAsia="標楷體" w:hAnsi="標楷體"/>
          <w:sz w:val="18"/>
          <w:szCs w:val="18"/>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4B21F0">
        <w:rPr>
          <w:rFonts w:ascii="標楷體" w:eastAsia="標楷體" w:hAnsi="標楷體" w:cs="DFKaiShu-SB-Estd-BF" w:hint="eastAsia"/>
          <w:kern w:val="0"/>
          <w:sz w:val="20"/>
          <w:szCs w:val="20"/>
        </w:rPr>
        <w:t>22</w:t>
      </w:r>
      <w:r w:rsidRPr="00EE3A9F">
        <w:rPr>
          <w:rFonts w:ascii="標楷體" w:eastAsia="標楷體" w:hAnsi="標楷體" w:cs="DFKaiShu-SB-Estd-BF" w:hint="eastAsia"/>
          <w:kern w:val="0"/>
          <w:sz w:val="20"/>
          <w:szCs w:val="20"/>
        </w:rPr>
        <w:t>日校務會議訂定</w:t>
      </w:r>
    </w:p>
    <w:p w:rsidR="00627FCF" w:rsidRPr="00554858" w:rsidRDefault="00627FCF"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本校專題演講廳及各階梯教室提供校內重要集會、學術活動及國內各機關、學術團體舉辦國際性、全國性或區域性之重要學術性</w:t>
      </w:r>
      <w:r w:rsidRPr="00554858">
        <w:rPr>
          <w:rFonts w:ascii="標楷體" w:eastAsia="標楷體" w:hAnsi="標楷體"/>
          <w:szCs w:val="24"/>
        </w:rPr>
        <w:t>(</w:t>
      </w:r>
      <w:r w:rsidRPr="00554858">
        <w:rPr>
          <w:rFonts w:ascii="標楷體" w:eastAsia="標楷體" w:hAnsi="標楷體" w:hint="eastAsia"/>
          <w:szCs w:val="24"/>
        </w:rPr>
        <w:t>研討</w:t>
      </w:r>
      <w:r w:rsidRPr="00554858">
        <w:rPr>
          <w:rFonts w:ascii="標楷體" w:eastAsia="標楷體" w:hAnsi="標楷體"/>
          <w:szCs w:val="24"/>
        </w:rPr>
        <w:t>)</w:t>
      </w:r>
      <w:r w:rsidRPr="00554858">
        <w:rPr>
          <w:rFonts w:ascii="標楷體" w:eastAsia="標楷體" w:hAnsi="標楷體" w:hint="eastAsia"/>
          <w:szCs w:val="24"/>
        </w:rPr>
        <w:t>會議之用。</w:t>
      </w:r>
    </w:p>
    <w:p w:rsidR="00627FCF" w:rsidRDefault="00554858" w:rsidP="00554858">
      <w:pPr>
        <w:pStyle w:val="ab"/>
        <w:numPr>
          <w:ilvl w:val="0"/>
          <w:numId w:val="12"/>
        </w:numPr>
        <w:tabs>
          <w:tab w:val="left" w:pos="720"/>
        </w:tabs>
        <w:snapToGrid w:val="0"/>
        <w:ind w:leftChars="0" w:left="993" w:hanging="993"/>
        <w:jc w:val="both"/>
        <w:rPr>
          <w:rFonts w:ascii="標楷體" w:eastAsia="標楷體" w:hAnsi="標楷體"/>
          <w:szCs w:val="24"/>
        </w:rPr>
      </w:pPr>
      <w:r>
        <w:rPr>
          <w:rFonts w:ascii="標楷體" w:eastAsia="標楷體" w:hAnsi="標楷體" w:hint="eastAsia"/>
          <w:szCs w:val="24"/>
        </w:rPr>
        <w:t xml:space="preserve">  </w:t>
      </w:r>
      <w:r w:rsidR="00627FCF" w:rsidRPr="00554858">
        <w:rPr>
          <w:rFonts w:ascii="標楷體" w:eastAsia="標楷體" w:hAnsi="標楷體" w:hint="eastAsia"/>
          <w:szCs w:val="24"/>
        </w:rPr>
        <w:t>本辦法所規範之專題演講廳及各階梯教室包括</w:t>
      </w:r>
      <w:r w:rsidR="00627FCF" w:rsidRPr="00554858">
        <w:rPr>
          <w:rFonts w:ascii="標楷體" w:eastAsia="標楷體" w:hAnsi="標楷體"/>
          <w:szCs w:val="24"/>
        </w:rPr>
        <w:t>:</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一、台南校區A101第一演講廳(可容納130人)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二、台南校區A104第二演講廳(可容納169人)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三、台南校區MB01階梯教室(可容納155人)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四、台南校區M101階梯教室(可容納155人)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五、台南校區MB18階梯教室(可容納183人)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六、台南校區M114階梯教室(可容納183人)</w:t>
      </w:r>
    </w:p>
    <w:p w:rsidR="00554858" w:rsidRPr="00554858" w:rsidRDefault="00554858" w:rsidP="00554858">
      <w:pPr>
        <w:pStyle w:val="ab"/>
        <w:tabs>
          <w:tab w:val="left" w:pos="720"/>
        </w:tabs>
        <w:snapToGrid w:val="0"/>
        <w:ind w:firstLineChars="213" w:firstLine="511"/>
        <w:jc w:val="both"/>
        <w:rPr>
          <w:rFonts w:ascii="標楷體" w:eastAsia="標楷體" w:hAnsi="標楷體"/>
          <w:szCs w:val="24"/>
        </w:rPr>
      </w:pPr>
      <w:r w:rsidRPr="00554858">
        <w:rPr>
          <w:rFonts w:ascii="標楷體" w:eastAsia="標楷體" w:hAnsi="標楷體" w:hint="eastAsia"/>
          <w:szCs w:val="24"/>
        </w:rPr>
        <w:t>七、台北校區康寧廳(可容納96人)</w:t>
      </w:r>
    </w:p>
    <w:p w:rsidR="00554858" w:rsidRDefault="00554858" w:rsidP="00554858">
      <w:pPr>
        <w:pStyle w:val="ab"/>
        <w:tabs>
          <w:tab w:val="left" w:pos="720"/>
        </w:tabs>
        <w:snapToGrid w:val="0"/>
        <w:ind w:leftChars="0" w:left="993"/>
        <w:jc w:val="both"/>
        <w:rPr>
          <w:rFonts w:ascii="標楷體" w:eastAsia="標楷體" w:hAnsi="標楷體"/>
          <w:szCs w:val="24"/>
        </w:rPr>
      </w:pPr>
      <w:r w:rsidRPr="00554858">
        <w:rPr>
          <w:rFonts w:ascii="標楷體" w:eastAsia="標楷體" w:hAnsi="標楷體" w:hint="eastAsia"/>
          <w:szCs w:val="24"/>
        </w:rPr>
        <w:t>八、台北校區先雲廳(可容納177人)</w:t>
      </w:r>
    </w:p>
    <w:p w:rsidR="00554858" w:rsidRPr="00554858" w:rsidRDefault="00554858" w:rsidP="00554858">
      <w:pPr>
        <w:pStyle w:val="ab"/>
        <w:tabs>
          <w:tab w:val="left" w:pos="720"/>
        </w:tabs>
        <w:snapToGrid w:val="0"/>
        <w:ind w:leftChars="0" w:left="993"/>
        <w:jc w:val="both"/>
        <w:rPr>
          <w:rFonts w:ascii="標楷體" w:eastAsia="標楷體" w:hAnsi="標楷體"/>
          <w:szCs w:val="24"/>
        </w:rPr>
      </w:pPr>
    </w:p>
    <w:p w:rsidR="00627FCF" w:rsidRPr="00554858" w:rsidRDefault="00627FCF"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為利於演講廳及各階梯教室管理維護，統由總務處保管組負責辦理管理、清潔及財產保管清點；各單位需求前述演講廳及各階梯教室時，應事先總務處保管組填寫使用申請單，並依行政程序使用前四十八小時</w:t>
      </w:r>
      <w:r w:rsidRPr="00554858">
        <w:rPr>
          <w:rFonts w:ascii="標楷體" w:eastAsia="標楷體" w:hAnsi="標楷體"/>
          <w:szCs w:val="24"/>
        </w:rPr>
        <w:t>(</w:t>
      </w:r>
      <w:r w:rsidRPr="00554858">
        <w:rPr>
          <w:rFonts w:ascii="標楷體" w:eastAsia="標楷體" w:hAnsi="標楷體" w:hint="eastAsia"/>
          <w:szCs w:val="24"/>
        </w:rPr>
        <w:t>不含例假日</w:t>
      </w:r>
      <w:r w:rsidRPr="00554858">
        <w:rPr>
          <w:rFonts w:ascii="標楷體" w:eastAsia="標楷體" w:hAnsi="標楷體"/>
          <w:szCs w:val="24"/>
        </w:rPr>
        <w:t>)</w:t>
      </w:r>
      <w:r w:rsidRPr="00554858">
        <w:rPr>
          <w:rFonts w:ascii="標楷體" w:eastAsia="標楷體" w:hAnsi="標楷體" w:hint="eastAsia"/>
          <w:szCs w:val="24"/>
        </w:rPr>
        <w:t>核准後行之。</w:t>
      </w:r>
    </w:p>
    <w:p w:rsidR="00627FCF" w:rsidRPr="00554858" w:rsidRDefault="00627FCF" w:rsidP="00554858">
      <w:pPr>
        <w:pStyle w:val="ab"/>
        <w:numPr>
          <w:ilvl w:val="0"/>
          <w:numId w:val="12"/>
        </w:numPr>
        <w:snapToGrid w:val="0"/>
        <w:spacing w:afterLines="50" w:after="180"/>
        <w:ind w:leftChars="0" w:left="993" w:hanging="993"/>
        <w:jc w:val="both"/>
        <w:rPr>
          <w:rFonts w:ascii="標楷體" w:eastAsia="標楷體" w:hAnsi="標楷體"/>
          <w:color w:val="000000" w:themeColor="text1"/>
          <w:szCs w:val="24"/>
        </w:rPr>
      </w:pPr>
      <w:r w:rsidRPr="00554858">
        <w:rPr>
          <w:rFonts w:ascii="標楷體" w:eastAsia="標楷體" w:hAnsi="標楷體" w:hint="eastAsia"/>
          <w:szCs w:val="24"/>
        </w:rPr>
        <w:t>本辦法制定後，系所一般課程即行管制使用</w:t>
      </w:r>
      <w:r w:rsidRPr="00554858">
        <w:rPr>
          <w:rFonts w:ascii="標楷體" w:eastAsia="標楷體" w:hAnsi="標楷體"/>
          <w:szCs w:val="24"/>
        </w:rPr>
        <w:t>;</w:t>
      </w:r>
      <w:r w:rsidRPr="00554858">
        <w:rPr>
          <w:rFonts w:ascii="標楷體" w:eastAsia="標楷體" w:hAnsi="標楷體" w:hint="eastAsia"/>
          <w:szCs w:val="24"/>
        </w:rPr>
        <w:t>若為特殊需求，得</w:t>
      </w:r>
      <w:r w:rsidRPr="00554858">
        <w:rPr>
          <w:rFonts w:ascii="標楷體" w:eastAsia="標楷體" w:hAnsi="標楷體" w:hint="eastAsia"/>
          <w:color w:val="000000" w:themeColor="text1"/>
          <w:szCs w:val="24"/>
        </w:rPr>
        <w:t>由教務處審核課程教學需要程度，</w:t>
      </w:r>
      <w:proofErr w:type="gramStart"/>
      <w:r w:rsidRPr="00554858">
        <w:rPr>
          <w:rFonts w:ascii="標楷體" w:eastAsia="標楷體" w:hAnsi="標楷體" w:hint="eastAsia"/>
          <w:color w:val="000000" w:themeColor="text1"/>
          <w:szCs w:val="24"/>
        </w:rPr>
        <w:t>綜整全</w:t>
      </w:r>
      <w:proofErr w:type="gramEnd"/>
      <w:r w:rsidRPr="00554858">
        <w:rPr>
          <w:rFonts w:ascii="標楷體" w:eastAsia="標楷體" w:hAnsi="標楷體" w:hint="eastAsia"/>
          <w:color w:val="000000" w:themeColor="text1"/>
          <w:szCs w:val="24"/>
        </w:rPr>
        <w:t>學期使用時間，於開學後三</w:t>
      </w:r>
      <w:proofErr w:type="gramStart"/>
      <w:r w:rsidRPr="00554858">
        <w:rPr>
          <w:rFonts w:ascii="標楷體" w:eastAsia="標楷體" w:hAnsi="標楷體" w:hint="eastAsia"/>
          <w:color w:val="000000" w:themeColor="text1"/>
          <w:szCs w:val="24"/>
        </w:rPr>
        <w:t>週</w:t>
      </w:r>
      <w:proofErr w:type="gramEnd"/>
      <w:r w:rsidRPr="00554858">
        <w:rPr>
          <w:rFonts w:ascii="標楷體" w:eastAsia="標楷體" w:hAnsi="標楷體" w:hint="eastAsia"/>
          <w:color w:val="000000" w:themeColor="text1"/>
          <w:szCs w:val="24"/>
        </w:rPr>
        <w:t>內排訂課表知會總務處，呈校長核定後行之，核定後若有調課、補課仍應接本辦法重新提出申請。</w:t>
      </w:r>
    </w:p>
    <w:p w:rsidR="00627FCF" w:rsidRPr="00554858" w:rsidRDefault="00627FCF" w:rsidP="00554858">
      <w:pPr>
        <w:pStyle w:val="ab"/>
        <w:tabs>
          <w:tab w:val="left" w:pos="720"/>
        </w:tabs>
        <w:snapToGrid w:val="0"/>
        <w:spacing w:afterLines="50" w:after="180"/>
        <w:ind w:leftChars="0" w:left="993"/>
        <w:jc w:val="both"/>
        <w:rPr>
          <w:rFonts w:ascii="標楷體" w:eastAsia="標楷體" w:hAnsi="標楷體"/>
          <w:color w:val="000000" w:themeColor="text1"/>
          <w:szCs w:val="24"/>
        </w:rPr>
      </w:pPr>
      <w:r w:rsidRPr="00554858">
        <w:rPr>
          <w:rFonts w:ascii="標楷體" w:eastAsia="標楷體" w:hAnsi="標楷體" w:hint="eastAsia"/>
          <w:color w:val="000000" w:themeColor="text1"/>
          <w:szCs w:val="24"/>
        </w:rPr>
        <w:t>有關各場地設備儀器之操作使用，由總務處負責；</w:t>
      </w:r>
      <w:proofErr w:type="gramStart"/>
      <w:r w:rsidRPr="00554858">
        <w:rPr>
          <w:rFonts w:ascii="標楷體" w:eastAsia="標楷體" w:hAnsi="標楷體" w:hint="eastAsia"/>
          <w:color w:val="000000" w:themeColor="text1"/>
          <w:szCs w:val="24"/>
        </w:rPr>
        <w:t>惟</w:t>
      </w:r>
      <w:proofErr w:type="gramEnd"/>
      <w:r w:rsidRPr="00554858">
        <w:rPr>
          <w:rFonts w:ascii="標楷體" w:eastAsia="標楷體" w:hAnsi="標楷體" w:hint="eastAsia"/>
          <w:color w:val="000000" w:themeColor="text1"/>
          <w:szCs w:val="24"/>
        </w:rPr>
        <w:t>各項學術活動需專業技術人員協助時，由申請使用單位</w:t>
      </w:r>
      <w:proofErr w:type="gramStart"/>
      <w:r w:rsidRPr="00554858">
        <w:rPr>
          <w:rFonts w:ascii="標楷體" w:eastAsia="標楷體" w:hAnsi="標楷體" w:hint="eastAsia"/>
          <w:color w:val="000000" w:themeColor="text1"/>
          <w:szCs w:val="24"/>
        </w:rPr>
        <w:t>逕</w:t>
      </w:r>
      <w:proofErr w:type="gramEnd"/>
      <w:r w:rsidRPr="00554858">
        <w:rPr>
          <w:rFonts w:ascii="標楷體" w:eastAsia="標楷體" w:hAnsi="標楷體" w:hint="eastAsia"/>
          <w:color w:val="000000" w:themeColor="text1"/>
          <w:szCs w:val="24"/>
        </w:rPr>
        <w:t>洽有關技術人員操控，以期各項活動之圓滿達成。</w:t>
      </w:r>
    </w:p>
    <w:p w:rsidR="00627FCF" w:rsidRPr="00554858" w:rsidRDefault="00627FCF" w:rsidP="00554858">
      <w:pPr>
        <w:pStyle w:val="ab"/>
        <w:numPr>
          <w:ilvl w:val="0"/>
          <w:numId w:val="12"/>
        </w:numPr>
        <w:snapToGrid w:val="0"/>
        <w:ind w:leftChars="0" w:left="993" w:hanging="993"/>
        <w:jc w:val="both"/>
        <w:rPr>
          <w:rFonts w:ascii="標楷體" w:eastAsia="標楷體" w:hAnsi="標楷體"/>
          <w:color w:val="000000" w:themeColor="text1"/>
          <w:szCs w:val="24"/>
        </w:rPr>
      </w:pPr>
      <w:r w:rsidRPr="00554858">
        <w:rPr>
          <w:rFonts w:ascii="標楷體" w:eastAsia="標楷體" w:hAnsi="標楷體" w:hint="eastAsia"/>
          <w:color w:val="000000" w:themeColor="text1"/>
          <w:szCs w:val="24"/>
        </w:rPr>
        <w:t>本校各單位舉辦之學術性或重要集會活動，以不收取費用為原則；但其性質如對參加學員收取費用者，應編列場地管理費回</w:t>
      </w:r>
      <w:proofErr w:type="gramStart"/>
      <w:r w:rsidRPr="00554858">
        <w:rPr>
          <w:rFonts w:ascii="標楷體" w:eastAsia="標楷體" w:hAnsi="標楷體" w:hint="eastAsia"/>
          <w:color w:val="000000" w:themeColor="text1"/>
          <w:szCs w:val="24"/>
        </w:rPr>
        <w:t>餚</w:t>
      </w:r>
      <w:proofErr w:type="gramEnd"/>
      <w:r w:rsidRPr="00554858">
        <w:rPr>
          <w:rFonts w:ascii="標楷體" w:eastAsia="標楷體" w:hAnsi="標楷體" w:hint="eastAsia"/>
          <w:color w:val="000000" w:themeColor="text1"/>
          <w:szCs w:val="24"/>
        </w:rPr>
        <w:t>學校，本辦法規範各演講廳及各階梯教室收費標準如下：</w:t>
      </w:r>
    </w:p>
    <w:p w:rsidR="00627FCF" w:rsidRDefault="00627FCF"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color w:val="000000" w:themeColor="text1"/>
          <w:szCs w:val="24"/>
        </w:rPr>
        <w:t>校外各機關、團體借用時，應以正式書函經本校對等承辦單位簽核同意，並繳</w:t>
      </w:r>
      <w:r w:rsidRPr="00554858">
        <w:rPr>
          <w:rFonts w:ascii="標楷體" w:eastAsia="標楷體" w:hAnsi="標楷體" w:hint="eastAsia"/>
          <w:szCs w:val="24"/>
        </w:rPr>
        <w:t>交管理費後，始予借用；若為特殊個案經專案簽核後，得免</w:t>
      </w:r>
      <w:proofErr w:type="gramStart"/>
      <w:r w:rsidRPr="00554858">
        <w:rPr>
          <w:rFonts w:ascii="標楷體" w:eastAsia="標楷體" w:hAnsi="標楷體" w:hint="eastAsia"/>
          <w:szCs w:val="24"/>
        </w:rPr>
        <w:t>收費或酌予</w:t>
      </w:r>
      <w:proofErr w:type="gramEnd"/>
      <w:r w:rsidRPr="00554858">
        <w:rPr>
          <w:rFonts w:ascii="標楷體" w:eastAsia="標楷體" w:hAnsi="標楷體" w:hint="eastAsia"/>
          <w:szCs w:val="24"/>
        </w:rPr>
        <w:t>優待。</w:t>
      </w:r>
    </w:p>
    <w:p w:rsidR="00554858" w:rsidRPr="00554858" w:rsidRDefault="00554858" w:rsidP="00554858">
      <w:pPr>
        <w:pStyle w:val="ab"/>
        <w:snapToGrid w:val="0"/>
        <w:spacing w:afterLines="50" w:after="180"/>
        <w:ind w:leftChars="413" w:left="1416" w:hangingChars="177" w:hanging="425"/>
        <w:jc w:val="both"/>
        <w:rPr>
          <w:rFonts w:ascii="標楷體" w:eastAsia="標楷體" w:hAnsi="標楷體"/>
          <w:szCs w:val="24"/>
        </w:rPr>
      </w:pPr>
      <w:r w:rsidRPr="00554858">
        <w:rPr>
          <w:rFonts w:ascii="標楷體" w:eastAsia="標楷體" w:hAnsi="標楷體" w:hint="eastAsia"/>
          <w:szCs w:val="24"/>
        </w:rPr>
        <w:t>一、以四個小時為計費單位，其計費時間自場地佈置</w:t>
      </w:r>
      <w:proofErr w:type="gramStart"/>
      <w:r w:rsidRPr="00554858">
        <w:rPr>
          <w:rFonts w:ascii="標楷體" w:eastAsia="標楷體" w:hAnsi="標楷體" w:hint="eastAsia"/>
          <w:szCs w:val="24"/>
        </w:rPr>
        <w:t>迄</w:t>
      </w:r>
      <w:proofErr w:type="gramEnd"/>
      <w:r w:rsidRPr="00554858">
        <w:rPr>
          <w:rFonts w:ascii="標楷體" w:eastAsia="標楷體" w:hAnsi="標楷體" w:hint="eastAsia"/>
          <w:szCs w:val="24"/>
        </w:rPr>
        <w:t>場地復原止，演講廳:肆仟元正；階梯教室M101、MB01:參仟元正；階梯教室M114、MB18:參仟伍百元正。</w:t>
      </w:r>
    </w:p>
    <w:p w:rsidR="00554858" w:rsidRPr="00554858" w:rsidRDefault="00554858" w:rsidP="00554858">
      <w:pPr>
        <w:pStyle w:val="ab"/>
        <w:snapToGrid w:val="0"/>
        <w:spacing w:afterLines="50" w:after="180"/>
        <w:ind w:leftChars="413" w:left="1416" w:hangingChars="177" w:hanging="425"/>
        <w:jc w:val="both"/>
        <w:rPr>
          <w:rFonts w:ascii="標楷體" w:eastAsia="標楷體" w:hAnsi="標楷體"/>
          <w:szCs w:val="24"/>
        </w:rPr>
      </w:pPr>
      <w:r w:rsidRPr="00554858">
        <w:rPr>
          <w:rFonts w:ascii="標楷體" w:eastAsia="標楷體" w:hAnsi="標楷體" w:hint="eastAsia"/>
          <w:szCs w:val="24"/>
        </w:rPr>
        <w:t>二、</w:t>
      </w:r>
      <w:proofErr w:type="gramStart"/>
      <w:r w:rsidRPr="00554858">
        <w:rPr>
          <w:rFonts w:ascii="標楷體" w:eastAsia="標楷體" w:hAnsi="標楷體" w:hint="eastAsia"/>
          <w:szCs w:val="24"/>
        </w:rPr>
        <w:t>先雲廳</w:t>
      </w:r>
      <w:proofErr w:type="gramEnd"/>
      <w:r w:rsidRPr="00554858">
        <w:rPr>
          <w:rFonts w:ascii="標楷體" w:eastAsia="標楷體" w:hAnsi="標楷體" w:hint="eastAsia"/>
          <w:szCs w:val="24"/>
        </w:rPr>
        <w:t>、康寧廳每小時貮仟元正</w:t>
      </w:r>
      <w:r w:rsidRPr="00554858">
        <w:rPr>
          <w:rFonts w:ascii="標楷體" w:eastAsia="標楷體" w:hAnsi="標楷體"/>
          <w:szCs w:val="24"/>
        </w:rPr>
        <w:t>(</w:t>
      </w:r>
      <w:r w:rsidRPr="00554858">
        <w:rPr>
          <w:rFonts w:ascii="標楷體" w:eastAsia="標楷體" w:hAnsi="標楷體" w:hint="eastAsia"/>
          <w:szCs w:val="24"/>
        </w:rPr>
        <w:t>不含冷氣，冷氣插卡計費</w:t>
      </w:r>
      <w:r w:rsidRPr="00554858">
        <w:rPr>
          <w:rFonts w:ascii="標楷體" w:eastAsia="標楷體" w:hAnsi="標楷體"/>
          <w:szCs w:val="24"/>
        </w:rPr>
        <w:t>)</w:t>
      </w:r>
      <w:r w:rsidRPr="00554858">
        <w:rPr>
          <w:rFonts w:ascii="標楷體" w:eastAsia="標楷體" w:hAnsi="標楷體" w:hint="eastAsia"/>
          <w:szCs w:val="24"/>
        </w:rPr>
        <w:t>。</w:t>
      </w:r>
    </w:p>
    <w:p w:rsidR="00554858" w:rsidRPr="00554858" w:rsidRDefault="00554858" w:rsidP="00554858">
      <w:pPr>
        <w:pStyle w:val="ab"/>
        <w:snapToGrid w:val="0"/>
        <w:spacing w:afterLines="50" w:after="180"/>
        <w:ind w:leftChars="413" w:left="1416" w:hangingChars="177" w:hanging="425"/>
        <w:jc w:val="both"/>
        <w:rPr>
          <w:rFonts w:ascii="標楷體" w:eastAsia="標楷體" w:hAnsi="標楷體"/>
          <w:szCs w:val="24"/>
        </w:rPr>
      </w:pPr>
      <w:r w:rsidRPr="00554858">
        <w:rPr>
          <w:rFonts w:ascii="標楷體" w:eastAsia="標楷體" w:hAnsi="標楷體" w:hint="eastAsia"/>
          <w:szCs w:val="24"/>
        </w:rPr>
        <w:t>三、申請單位應於申請時完成繳費。</w:t>
      </w:r>
    </w:p>
    <w:p w:rsidR="00627FCF" w:rsidRPr="00554858" w:rsidRDefault="00627FCF"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前述管理費由總務處</w:t>
      </w:r>
      <w:proofErr w:type="gramStart"/>
      <w:r w:rsidRPr="00554858">
        <w:rPr>
          <w:rFonts w:ascii="標楷體" w:eastAsia="標楷體" w:hAnsi="標楷體" w:hint="eastAsia"/>
          <w:szCs w:val="24"/>
        </w:rPr>
        <w:t>出納組收帳</w:t>
      </w:r>
      <w:proofErr w:type="gramEnd"/>
      <w:r w:rsidRPr="00554858">
        <w:rPr>
          <w:rFonts w:ascii="標楷體" w:eastAsia="標楷體" w:hAnsi="標楷體" w:hint="eastAsia"/>
          <w:szCs w:val="24"/>
        </w:rPr>
        <w:t>，所收之費用，用於支應電費、場地維護、設施維護、管理人員加班或臨時雇用管理人員之薪資等用途。</w:t>
      </w:r>
    </w:p>
    <w:p w:rsidR="00627FCF" w:rsidRPr="00554858" w:rsidRDefault="00627FCF"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本辦法所規範之專題演講廳及各階梯教室不得借予有商業性行為之活動，惟經專案簽准之高水準的體育或藝文活動、公益性活動則不在此限，但以提供本校師生適當</w:t>
      </w:r>
      <w:r w:rsidRPr="00554858">
        <w:rPr>
          <w:rFonts w:ascii="標楷體" w:eastAsia="標楷體" w:hAnsi="標楷體" w:hint="eastAsia"/>
          <w:szCs w:val="24"/>
        </w:rPr>
        <w:lastRenderedPageBreak/>
        <w:t>之優待為前提。</w:t>
      </w:r>
    </w:p>
    <w:p w:rsidR="00627FCF" w:rsidRPr="00554858" w:rsidRDefault="00B234B5" w:rsidP="00554858">
      <w:pPr>
        <w:pStyle w:val="ab"/>
        <w:numPr>
          <w:ilvl w:val="0"/>
          <w:numId w:val="12"/>
        </w:numPr>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借用單位對所有設備，應善加愛護</w:t>
      </w:r>
      <w:r w:rsidR="00627FCF" w:rsidRPr="00554858">
        <w:rPr>
          <w:rFonts w:ascii="標楷體" w:eastAsia="標楷體" w:hAnsi="標楷體" w:hint="eastAsia"/>
          <w:szCs w:val="24"/>
        </w:rPr>
        <w:t>使用，並請勿隨便搬動，如因需要必須搬動時，應事先徵得管理人員之同意，若有損壞，應負責賠償。</w:t>
      </w:r>
    </w:p>
    <w:p w:rsidR="00627FCF" w:rsidRPr="00554858" w:rsidRDefault="00627FCF" w:rsidP="00554858">
      <w:pPr>
        <w:pStyle w:val="ab"/>
        <w:numPr>
          <w:ilvl w:val="0"/>
          <w:numId w:val="12"/>
        </w:numPr>
        <w:tabs>
          <w:tab w:val="left" w:pos="1320"/>
        </w:tabs>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借用單位應注意用電安全，使用視聽器材應洽管理人員接電，不得擅自接引電源。</w:t>
      </w:r>
    </w:p>
    <w:p w:rsidR="00627FCF" w:rsidRPr="00554858" w:rsidRDefault="00627FCF" w:rsidP="00554858">
      <w:pPr>
        <w:pStyle w:val="ab"/>
        <w:numPr>
          <w:ilvl w:val="0"/>
          <w:numId w:val="12"/>
        </w:numPr>
        <w:tabs>
          <w:tab w:val="left" w:pos="1320"/>
        </w:tabs>
        <w:snapToGrid w:val="0"/>
        <w:spacing w:afterLines="50" w:after="180"/>
        <w:ind w:leftChars="0" w:left="993" w:hanging="993"/>
        <w:jc w:val="both"/>
        <w:rPr>
          <w:rFonts w:ascii="標楷體" w:eastAsia="標楷體" w:hAnsi="標楷體"/>
          <w:szCs w:val="24"/>
        </w:rPr>
      </w:pPr>
      <w:r w:rsidRPr="00554858">
        <w:rPr>
          <w:rFonts w:ascii="標楷體" w:eastAsia="標楷體" w:hAnsi="標楷體" w:hint="eastAsia"/>
          <w:szCs w:val="24"/>
        </w:rPr>
        <w:t>演講廳及各階梯教室內禁止飲食及食品之帶入，借用單位應負責維護場地之整潔，張貼海報紙張於歸還前清理完畢，且不得在牆壁上張貼無法清理之海報紙張。</w:t>
      </w:r>
    </w:p>
    <w:p w:rsidR="00627FCF" w:rsidRPr="00554858" w:rsidRDefault="009B6B69" w:rsidP="00554858">
      <w:pPr>
        <w:pStyle w:val="ab"/>
        <w:numPr>
          <w:ilvl w:val="0"/>
          <w:numId w:val="12"/>
        </w:numPr>
        <w:tabs>
          <w:tab w:val="left" w:pos="1320"/>
        </w:tabs>
        <w:snapToGrid w:val="0"/>
        <w:spacing w:afterLines="50" w:after="180"/>
        <w:ind w:leftChars="0" w:left="993" w:hanging="993"/>
        <w:jc w:val="both"/>
        <w:rPr>
          <w:rFonts w:ascii="標楷體" w:eastAsia="標楷體" w:hAnsi="標楷體"/>
          <w:szCs w:val="24"/>
        </w:rPr>
      </w:pPr>
      <w:r w:rsidRPr="00554858">
        <w:rPr>
          <w:rFonts w:ascii="標楷體" w:eastAsia="標楷體" w:hAnsi="標楷體" w:cs="標楷體-WinCharSetFFFF-H" w:hint="eastAsia"/>
          <w:kern w:val="0"/>
          <w:szCs w:val="24"/>
        </w:rPr>
        <w:t>本辦法經</w:t>
      </w:r>
      <w:r w:rsidRPr="00554858">
        <w:rPr>
          <w:rFonts w:ascii="標楷體" w:eastAsia="標楷體" w:hAnsi="標楷體" w:cs="標楷體" w:hint="eastAsia"/>
          <w:bCs/>
          <w:kern w:val="0"/>
          <w:szCs w:val="24"/>
        </w:rPr>
        <w:t>行政會議</w:t>
      </w:r>
      <w:r w:rsidR="005401D7" w:rsidRPr="00554858">
        <w:rPr>
          <w:rFonts w:ascii="標楷體" w:eastAsia="標楷體" w:hAnsi="標楷體" w:cs="標楷體" w:hint="eastAsia"/>
          <w:bCs/>
          <w:kern w:val="0"/>
          <w:szCs w:val="24"/>
        </w:rPr>
        <w:t>通過，校長核定後公布施行，修正時亦同。</w:t>
      </w:r>
    </w:p>
    <w:sectPr w:rsidR="00627FCF" w:rsidRPr="00554858" w:rsidSect="006518E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7B" w:rsidRDefault="00D15F7B" w:rsidP="00116C34">
      <w:r>
        <w:separator/>
      </w:r>
    </w:p>
  </w:endnote>
  <w:endnote w:type="continuationSeparator" w:id="0">
    <w:p w:rsidR="00D15F7B" w:rsidRDefault="00D15F7B"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7B" w:rsidRDefault="00D15F7B" w:rsidP="00116C34">
      <w:r>
        <w:separator/>
      </w:r>
    </w:p>
  </w:footnote>
  <w:footnote w:type="continuationSeparator" w:id="0">
    <w:p w:rsidR="00D15F7B" w:rsidRDefault="00D15F7B"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105"/>
    <w:multiLevelType w:val="multilevel"/>
    <w:tmpl w:val="6DD0364A"/>
    <w:lvl w:ilvl="0">
      <w:start w:val="1"/>
      <w:numFmt w:val="taiwaneseCountingThousand"/>
      <w:lvlText w:val="第%1條"/>
      <w:lvlJc w:val="left"/>
      <w:pPr>
        <w:tabs>
          <w:tab w:val="num" w:pos="735"/>
        </w:tabs>
        <w:ind w:left="735" w:hanging="735"/>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DDD1A8A"/>
    <w:multiLevelType w:val="hybridMultilevel"/>
    <w:tmpl w:val="78BADA26"/>
    <w:lvl w:ilvl="0" w:tplc="04090015">
      <w:start w:val="1"/>
      <w:numFmt w:val="taiwaneseCountingThousand"/>
      <w:lvlText w:val="%1、"/>
      <w:lvlJc w:val="left"/>
      <w:pPr>
        <w:tabs>
          <w:tab w:val="num" w:pos="480"/>
        </w:tabs>
        <w:ind w:left="480" w:hanging="480"/>
      </w:pPr>
      <w:rPr>
        <w:rFonts w:cs="Times New Roman"/>
      </w:rPr>
    </w:lvl>
    <w:lvl w:ilvl="1" w:tplc="B942A692">
      <w:start w:val="1"/>
      <w:numFmt w:val="taiwaneseCountingThousand"/>
      <w:lvlText w:val="(%2)"/>
      <w:lvlJc w:val="left"/>
      <w:pPr>
        <w:ind w:left="960" w:hanging="48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3DD01AA"/>
    <w:multiLevelType w:val="hybridMultilevel"/>
    <w:tmpl w:val="C456B6AC"/>
    <w:lvl w:ilvl="0" w:tplc="5AC2386C">
      <w:start w:val="1"/>
      <w:numFmt w:val="taiwaneseCountingThousand"/>
      <w:lvlText w:val="第%1條"/>
      <w:lvlJc w:val="left"/>
      <w:pPr>
        <w:tabs>
          <w:tab w:val="num" w:pos="284"/>
        </w:tabs>
        <w:ind w:left="737" w:hanging="737"/>
      </w:pPr>
      <w:rPr>
        <w:rFonts w:ascii="標楷體" w:eastAsia="標楷體" w:hAnsi="標楷體" w:cs="Times New Roman" w:hint="eastAsia"/>
        <w:sz w:val="24"/>
        <w:szCs w:val="24"/>
        <w:u w:val="none"/>
      </w:rPr>
    </w:lvl>
    <w:lvl w:ilvl="1" w:tplc="6C56C11E">
      <w:start w:val="1"/>
      <w:numFmt w:val="taiwaneseCountingThousand"/>
      <w:lvlText w:val="%2、"/>
      <w:lvlJc w:val="left"/>
      <w:pPr>
        <w:tabs>
          <w:tab w:val="num" w:pos="840"/>
        </w:tabs>
        <w:ind w:left="840" w:hanging="360"/>
      </w:pPr>
      <w:rPr>
        <w:rFonts w:ascii="標楷體" w:eastAsia="標楷體" w:hAnsi="標楷體" w:cs="Times New Roman"/>
        <w:lang w:val="en-US"/>
      </w:rPr>
    </w:lvl>
    <w:lvl w:ilvl="2" w:tplc="4C3E7C58">
      <w:start w:val="2"/>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B34283E"/>
    <w:multiLevelType w:val="hybridMultilevel"/>
    <w:tmpl w:val="21B6A1CC"/>
    <w:lvl w:ilvl="0" w:tplc="3DCC07A2">
      <w:start w:val="1"/>
      <w:numFmt w:val="decimal"/>
      <w:lvlText w:val="第%1條"/>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5651A6"/>
    <w:multiLevelType w:val="hybridMultilevel"/>
    <w:tmpl w:val="FE9ADE7E"/>
    <w:lvl w:ilvl="0" w:tplc="6C462292">
      <w:start w:val="1"/>
      <w:numFmt w:val="taiwaneseCountingThousand"/>
      <w:lvlText w:val="%1、"/>
      <w:lvlJc w:val="left"/>
      <w:pPr>
        <w:tabs>
          <w:tab w:val="num" w:pos="1560"/>
        </w:tabs>
        <w:ind w:left="1560" w:hanging="480"/>
      </w:pPr>
      <w:rPr>
        <w:rFonts w:cs="Times New Roman" w:hint="eastAsia"/>
      </w:rPr>
    </w:lvl>
    <w:lvl w:ilvl="1" w:tplc="286C0050">
      <w:start w:val="1"/>
      <w:numFmt w:val="decimal"/>
      <w:lvlText w:val="%2."/>
      <w:lvlJc w:val="left"/>
      <w:pPr>
        <w:ind w:left="1920" w:hanging="360"/>
      </w:pPr>
      <w:rPr>
        <w:rFonts w:cs="Times New Roman" w:hint="eastAsia"/>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
  </w:num>
  <w:num w:numId="2">
    <w:abstractNumId w:val="4"/>
  </w:num>
  <w:num w:numId="3">
    <w:abstractNumId w:val="5"/>
  </w:num>
  <w:num w:numId="4">
    <w:abstractNumId w:val="6"/>
  </w:num>
  <w:num w:numId="5">
    <w:abstractNumId w:val="8"/>
  </w:num>
  <w:num w:numId="6">
    <w:abstractNumId w:val="10"/>
  </w:num>
  <w:num w:numId="7">
    <w:abstractNumId w:val="7"/>
  </w:num>
  <w:num w:numId="8">
    <w:abstractNumId w:val="11"/>
  </w:num>
  <w:num w:numId="9">
    <w:abstractNumId w:val="2"/>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0699E"/>
    <w:rsid w:val="000103BB"/>
    <w:rsid w:val="00063D3B"/>
    <w:rsid w:val="000667C5"/>
    <w:rsid w:val="000672F4"/>
    <w:rsid w:val="00116C34"/>
    <w:rsid w:val="00117622"/>
    <w:rsid w:val="0015335B"/>
    <w:rsid w:val="001718B3"/>
    <w:rsid w:val="001761B4"/>
    <w:rsid w:val="001853F6"/>
    <w:rsid w:val="001A6D06"/>
    <w:rsid w:val="001E0CFF"/>
    <w:rsid w:val="0024496E"/>
    <w:rsid w:val="00253487"/>
    <w:rsid w:val="002B1CBA"/>
    <w:rsid w:val="002C335C"/>
    <w:rsid w:val="00336E0E"/>
    <w:rsid w:val="00376DB1"/>
    <w:rsid w:val="003D1C26"/>
    <w:rsid w:val="00405E8F"/>
    <w:rsid w:val="00477F1D"/>
    <w:rsid w:val="004976D6"/>
    <w:rsid w:val="004B21F0"/>
    <w:rsid w:val="004E02FF"/>
    <w:rsid w:val="004F4524"/>
    <w:rsid w:val="0052746E"/>
    <w:rsid w:val="005401D7"/>
    <w:rsid w:val="0055337B"/>
    <w:rsid w:val="00554858"/>
    <w:rsid w:val="005553C7"/>
    <w:rsid w:val="00556624"/>
    <w:rsid w:val="005B25B8"/>
    <w:rsid w:val="005B4793"/>
    <w:rsid w:val="005E043D"/>
    <w:rsid w:val="00627FCF"/>
    <w:rsid w:val="0063376E"/>
    <w:rsid w:val="006369C5"/>
    <w:rsid w:val="00645B08"/>
    <w:rsid w:val="006518EF"/>
    <w:rsid w:val="006527EA"/>
    <w:rsid w:val="0071741F"/>
    <w:rsid w:val="007305A1"/>
    <w:rsid w:val="007A4993"/>
    <w:rsid w:val="007B55E2"/>
    <w:rsid w:val="007C682A"/>
    <w:rsid w:val="007F1027"/>
    <w:rsid w:val="007F4128"/>
    <w:rsid w:val="00856244"/>
    <w:rsid w:val="00885E2C"/>
    <w:rsid w:val="008945BD"/>
    <w:rsid w:val="008C5922"/>
    <w:rsid w:val="008D29AB"/>
    <w:rsid w:val="008E473D"/>
    <w:rsid w:val="0096746B"/>
    <w:rsid w:val="00983D8C"/>
    <w:rsid w:val="009873B1"/>
    <w:rsid w:val="009944D1"/>
    <w:rsid w:val="009A2ED0"/>
    <w:rsid w:val="009A7486"/>
    <w:rsid w:val="009B6B69"/>
    <w:rsid w:val="009C57A0"/>
    <w:rsid w:val="009E5E5D"/>
    <w:rsid w:val="009F1A2F"/>
    <w:rsid w:val="00A25691"/>
    <w:rsid w:val="00A825CB"/>
    <w:rsid w:val="00AB01F8"/>
    <w:rsid w:val="00B234B5"/>
    <w:rsid w:val="00B43407"/>
    <w:rsid w:val="00B71D24"/>
    <w:rsid w:val="00BA78B1"/>
    <w:rsid w:val="00BE2297"/>
    <w:rsid w:val="00CA1AE6"/>
    <w:rsid w:val="00CA55A5"/>
    <w:rsid w:val="00CD1DB6"/>
    <w:rsid w:val="00D13209"/>
    <w:rsid w:val="00D15F7B"/>
    <w:rsid w:val="00D93EC2"/>
    <w:rsid w:val="00DB2FB9"/>
    <w:rsid w:val="00DD3A79"/>
    <w:rsid w:val="00DF4FC4"/>
    <w:rsid w:val="00E15BCB"/>
    <w:rsid w:val="00E4373B"/>
    <w:rsid w:val="00E603B4"/>
    <w:rsid w:val="00F12EAF"/>
    <w:rsid w:val="00F168B3"/>
    <w:rsid w:val="00F3290F"/>
    <w:rsid w:val="00F32E3F"/>
    <w:rsid w:val="00F52F62"/>
    <w:rsid w:val="00FC19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styleId="a9">
    <w:name w:val="Body Text Indent"/>
    <w:basedOn w:val="a"/>
    <w:link w:val="aa"/>
    <w:uiPriority w:val="99"/>
    <w:rsid w:val="007305A1"/>
    <w:pPr>
      <w:spacing w:after="120"/>
      <w:ind w:leftChars="200" w:left="480"/>
    </w:pPr>
    <w:rPr>
      <w:rFonts w:ascii="Times New Roman" w:hAnsi="Times New Roman"/>
      <w:szCs w:val="24"/>
    </w:rPr>
  </w:style>
  <w:style w:type="character" w:customStyle="1" w:styleId="aa">
    <w:name w:val="本文縮排 字元"/>
    <w:link w:val="a9"/>
    <w:uiPriority w:val="99"/>
    <w:semiHidden/>
    <w:locked/>
    <w:rsid w:val="0071741F"/>
    <w:rPr>
      <w:rFonts w:cs="Times New Roman"/>
    </w:rPr>
  </w:style>
  <w:style w:type="paragraph" w:styleId="ab">
    <w:name w:val="List Paragraph"/>
    <w:basedOn w:val="a"/>
    <w:uiPriority w:val="34"/>
    <w:qFormat/>
    <w:rsid w:val="0063376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2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hAnsi="Arial Unicode MS" w:cs="Arial Unicode MS"/>
      <w:kern w:val="0"/>
      <w:szCs w:val="24"/>
    </w:rPr>
  </w:style>
  <w:style w:type="character" w:styleId="a8">
    <w:name w:val="Strong"/>
    <w:uiPriority w:val="99"/>
    <w:qFormat/>
    <w:rsid w:val="007C682A"/>
    <w:rPr>
      <w:rFonts w:cs="Times New Roman"/>
      <w:b/>
      <w:bCs/>
    </w:rPr>
  </w:style>
  <w:style w:type="paragraph" w:styleId="a9">
    <w:name w:val="Body Text Indent"/>
    <w:basedOn w:val="a"/>
    <w:link w:val="aa"/>
    <w:uiPriority w:val="99"/>
    <w:rsid w:val="007305A1"/>
    <w:pPr>
      <w:spacing w:after="120"/>
      <w:ind w:leftChars="200" w:left="480"/>
    </w:pPr>
    <w:rPr>
      <w:rFonts w:ascii="Times New Roman" w:hAnsi="Times New Roman"/>
      <w:szCs w:val="24"/>
    </w:rPr>
  </w:style>
  <w:style w:type="character" w:customStyle="1" w:styleId="aa">
    <w:name w:val="本文縮排 字元"/>
    <w:link w:val="a9"/>
    <w:uiPriority w:val="99"/>
    <w:semiHidden/>
    <w:locked/>
    <w:rsid w:val="0071741F"/>
    <w:rPr>
      <w:rFonts w:cs="Times New Roman"/>
    </w:rPr>
  </w:style>
  <w:style w:type="paragraph" w:styleId="ab">
    <w:name w:val="List Paragraph"/>
    <w:basedOn w:val="a"/>
    <w:uiPriority w:val="34"/>
    <w:qFormat/>
    <w:rsid w:val="006337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陳佩琳</cp:lastModifiedBy>
  <cp:revision>2</cp:revision>
  <cp:lastPrinted>2014-09-22T08:41:00Z</cp:lastPrinted>
  <dcterms:created xsi:type="dcterms:W3CDTF">2016-05-30T08:56:00Z</dcterms:created>
  <dcterms:modified xsi:type="dcterms:W3CDTF">2016-05-30T08:56:00Z</dcterms:modified>
</cp:coreProperties>
</file>